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00"/>
        <w:jc w:val="center"/>
      </w:pPr>
      <w:r>
        <w:drawing>
          <wp:inline distT="0" distB="0" distL="0" distR="0">
            <wp:extent cx="3048000" cy="485775"/>
            <wp:effectExtent t="0" r="0" b="0" l="0"/>
            <wp:docPr id="1" name="atar-logo" descr="ATAR Agtek wordmark in brand green" title="A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0"/>
        <w:jc w:val="center"/>
      </w:pPr>
      <w:r>
        <w:rPr>
          <w:color w:val="006400"/>
          <w:sz w:val="44"/>
          <w:szCs w:val="44"/>
        </w:rPr>
        <w:t xml:space="preserve">Smart Sprayer</w:t>
      </w:r>
    </w:p>
    <w:p>
      <w:pPr>
        <w:spacing w:after="240"/>
        <w:jc w:val="center"/>
      </w:pPr>
      <w:r>
        <w:rPr>
          <w:b/>
          <w:bCs/>
          <w:sz w:val="44"/>
          <w:szCs w:val="44"/>
        </w:rPr>
        <w:t xml:space="preserve">Central Unit — Installation Guide</w:t>
      </w:r>
    </w:p>
    <w:p>
      <w:pPr>
        <w:spacing w:after="600"/>
        <w:jc w:val="center"/>
      </w:pPr>
      <w:r>
        <w:rPr>
          <w:color w:val="404040"/>
          <w:sz w:val="28"/>
          <w:szCs w:val="28"/>
        </w:rPr>
        <w:t xml:space="preserve">Product code: ATAR-SUB-CENTRAL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FIG-COVER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Hero photo of ATAR Central Unit mounted on a sprayer frame</w:t>
            </w:r>
          </w:p>
        </w:tc>
      </w:tr>
    </w:tbl>
    <w:p>
      <w:pPr>
        <w:spacing w:before="600"/>
        <w:jc w:val="center"/>
      </w:pPr>
      <w:r>
        <w:rPr>
          <w:color w:val="404040"/>
          <w:sz w:val="20"/>
          <w:szCs w:val="20"/>
        </w:rPr>
        <w:t xml:space="preserve">Document language: English (master)</w:t>
      </w:r>
    </w:p>
    <w:p>
      <w:pPr>
        <w:jc w:val="center"/>
      </w:pPr>
      <w:r>
        <w:rPr>
          <w:color w:val="404040"/>
          <w:sz w:val="20"/>
          <w:szCs w:val="20"/>
        </w:rPr>
        <w:t xml:space="preserve">Revision: 0.1 — DRAFT  •  Date: June 2026</w:t>
      </w:r>
    </w:p>
    <w:p>
      <w:r>
        <w:br w:type="page"/>
      </w:r>
    </w:p>
    <w:p>
      <w:pPr>
        <w:pStyle w:val="Heading1"/>
        <w:spacing w:after="200" w:before="360"/>
      </w:pPr>
      <w:r>
        <w:t xml:space="preserve">Document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Document title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Smart Sprayer — Central Unit Installation Guide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ATAR-SUB-CENTRAL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Audience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Trained installers, dealer technicians, ATAR field service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Document language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English (master). Translations: DE, SR (Latin)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0.1 — DRAFT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June 2026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Agtek d.o.o.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Approved by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Mirko Suka</w:t>
            </w:r>
          </w:p>
        </w:tc>
      </w:tr>
    </w:tbl>
    <w:p>
      <w:pPr>
        <w:pStyle w:val="Heading1"/>
        <w:spacing w:after="200" w:before="360"/>
      </w:pPr>
      <w: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360"/>
      </w:pPr>
      <w:r>
        <w:t xml:space="preserve">1. About this guide</w:t>
      </w:r>
    </w:p>
    <w:p>
      <w:pPr>
        <w:spacing w:after="120"/>
      </w:pPr>
      <w:r>
        <w:t xml:space="preserve">This guide describes how to mechanically mount, electrically connect, and pneumatically connect the ATAR Smart Sprayer Central Unit (product code ATAR-SUB-CENTRAL) on an agricultural sprayer. The Central Unit acts as the central control, power distribution, and pneumatic regulation hub of the entire smart spraying system.</w:t>
      </w:r>
    </w:p>
    <w:p>
      <w:pPr>
        <w:spacing w:after="120"/>
      </w:pPr>
      <w:r>
        <w:t xml:space="preserve">This document is intended for trained personnel only. Read it in full before starting installation.</w:t>
      </w:r>
    </w:p>
    <w:p>
      <w:pPr>
        <w:pStyle w:val="Heading2"/>
        <w:spacing w:after="160" w:before="280"/>
      </w:pPr>
      <w:r>
        <w:t xml:space="preserve">1.1 Symbols used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Indicates a hazard that may cause injury or permanent equipment damage if ignored.</w:t>
      </w:r>
    </w:p>
    <w:p>
      <w:pPr>
        <w:pBdr>
          <w:left w:val="single" w:color="BF8F00" w:sz="18" w:space="8"/>
        </w:pBdr>
        <w:spacing w:after="120" w:before="80"/>
        <w:ind w:left="200"/>
      </w:pPr>
      <w:r>
        <w:rPr>
          <w:b/>
          <w:bCs/>
          <w:color w:val="BF8F00"/>
        </w:rPr>
        <w:t xml:space="preserve">CAUTION  </w:t>
      </w:r>
      <w:r>
        <w:t xml:space="preserve">Indicates a condition that may cause incorrect operation or reduced performance.</w:t>
      </w:r>
    </w:p>
    <w:p>
      <w:pPr>
        <w:pBdr>
          <w:left w:val="single" w:color="008000" w:sz="18" w:space="8"/>
        </w:pBdr>
        <w:spacing w:after="120" w:before="80"/>
        <w:ind w:left="200"/>
      </w:pPr>
      <w:r>
        <w:rPr>
          <w:b/>
          <w:bCs/>
          <w:color w:val="008000"/>
        </w:rPr>
        <w:t xml:space="preserve">NOTE  </w:t>
      </w:r>
      <w:r>
        <w:t xml:space="preserve">Provides additional information, tips, or context.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2. Safety</w:t>
      </w:r>
    </w:p>
    <w:p>
      <w:pPr>
        <w:spacing w:after="120"/>
      </w:pPr>
      <w:r>
        <w:t xml:space="preserve">Follow all the safety rules below at all times. They protect both the operator and the equipment.</w:t>
      </w:r>
    </w:p>
    <w:p>
      <w:pPr>
        <w:pStyle w:val="Heading2"/>
        <w:spacing w:after="160" w:before="280"/>
      </w:pPr>
      <w:r>
        <w:t xml:space="preserve">2.1 General safety rules</w:t>
      </w:r>
    </w:p>
    <w:p>
      <w:pPr>
        <w:pStyle w:val="ListParagraph"/>
        <w:numPr>
          <w:ilvl w:val="0"/>
          <w:numId w:val="2"/>
        </w:numPr>
      </w:pPr>
      <w:r>
        <w:t xml:space="preserve">Installation must be performed by trained personnel only.</w:t>
      </w:r>
    </w:p>
    <w:p>
      <w:pPr>
        <w:pStyle w:val="ListParagraph"/>
        <w:numPr>
          <w:ilvl w:val="0"/>
          <w:numId w:val="2"/>
        </w:numPr>
      </w:pPr>
      <w:r>
        <w:t xml:space="preserve">Before starting work, disconnect the tractor battery and depressurise the sprayer's pneumatic system.</w:t>
      </w:r>
    </w:p>
    <w:p>
      <w:pPr>
        <w:pStyle w:val="ListParagraph"/>
        <w:numPr>
          <w:ilvl w:val="0"/>
          <w:numId w:val="2"/>
        </w:numPr>
      </w:pPr>
      <w:r>
        <w:t xml:space="preserve">Use appropriate personal protective equipment (PPE): safety glasses and work gloves.</w:t>
      </w:r>
    </w:p>
    <w:p>
      <w:pPr>
        <w:pStyle w:val="ListParagraph"/>
        <w:numPr>
          <w:ilvl w:val="0"/>
          <w:numId w:val="2"/>
        </w:numPr>
      </w:pPr>
      <w:r>
        <w:t xml:space="preserve">Mount the Central Unit in a secure, flat, and dry location on the sprayer frame.</w:t>
      </w:r>
    </w:p>
    <w:p>
      <w:pPr>
        <w:pStyle w:val="Heading2"/>
        <w:spacing w:after="160" w:before="280"/>
      </w:pPr>
      <w:r>
        <w:t xml:space="preserve">2.2 Critical do-not rules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Never connect or disconnect any electrical cable or pneumatic hose while the system is powered.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Never bypass or remove the main power fuse. The fuse protects the entire system from short circuits and electrical fires.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Never mount the Central Unit with the cable glands pointing upward or sideways. Water can enter the enclosure and destroy the electronics.</w:t>
      </w:r>
    </w:p>
    <w:p>
      <w:pPr>
        <w:pBdr>
          <w:left w:val="single" w:color="BF8F00" w:sz="18" w:space="8"/>
        </w:pBdr>
        <w:spacing w:after="120" w:before="80"/>
        <w:ind w:left="200"/>
      </w:pPr>
      <w:r>
        <w:rPr>
          <w:b/>
          <w:bCs/>
          <w:color w:val="BF8F00"/>
        </w:rPr>
        <w:t xml:space="preserve">CAUTION  </w:t>
      </w:r>
      <w:r>
        <w:t xml:space="preserve">Do not over-tighten the mounting bolts. The enclosure must be held firmly without deforming the housing.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3. Product specifications</w:t>
      </w:r>
    </w:p>
    <w:p>
      <w:pPr>
        <w:spacing w:after="120"/>
      </w:pPr>
      <w:r>
        <w:t xml:space="preserve">All values refer to the ATAR Central Unit (ATAR-SUB-CENTRAL).</w:t>
      </w:r>
    </w:p>
    <w:p>
      <w:pPr>
        <w:pStyle w:val="Heading2"/>
        <w:spacing w:after="160" w:before="280"/>
      </w:pPr>
      <w:r>
        <w:t xml:space="preserve">3.1 Mechanical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Dimensions (W × H × D)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280 × 220 × 90 mm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Weight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~2.8 kg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Housing material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Rugged polycarbonate / aluminium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Ingress protection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IP67 (waterproof, dustproof, chemical-resistant)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Mounting interface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Heavy-duty mounting bracket with 4 × bolt points</w:t>
            </w:r>
          </w:p>
        </w:tc>
      </w:tr>
    </w:tbl>
    <w:p>
      <w:pPr>
        <w:pStyle w:val="Heading2"/>
        <w:spacing w:after="160" w:before="280"/>
      </w:pPr>
      <w:r>
        <w:t xml:space="preserve">3.2 Electrical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Supply voltage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V DC nominal (11 – 15 V DC)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Maximum current draw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~25 A (including compressor and modules)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Switched compressor output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V DC, fused at 20 A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Network switch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High-speed PoE (Power over Ethernet) switch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PoE output voltage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Up to 57 V DC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Network connectors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M12 X-coded, 8-pin</w:t>
            </w:r>
          </w:p>
        </w:tc>
      </w:tr>
    </w:tbl>
    <w:p>
      <w:pPr>
        <w:pStyle w:val="Heading2"/>
        <w:spacing w:after="160" w:before="280"/>
      </w:pPr>
      <w:r>
        <w:t xml:space="preserve">3.3 Pneumatic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Pneumatic inlet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ø10 mm quick-connect (from compressor, 6–8 bar)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Pneumatic outlet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ø10 mm quick-connect (regulated, 4–6 bar)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Pressure regulation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Integrated manual regulator with pressure gauge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Working pressure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 – 6 bar (regulated output to boom)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FIG-01 ]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ATAR-SUB-CENTRAL front, side, and bottom views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1 — </w:t>
      </w:r>
      <w:r>
        <w:rPr>
          <w:i/>
          <w:iCs/>
          <w:color w:val="404040"/>
          <w:sz w:val="18"/>
          <w:szCs w:val="18"/>
        </w:rPr>
        <w:t xml:space="preserve">ATAR Central Unit (ATAR-SUB-CENTRAL) — front, side, and bottom views.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4. Required tools and materials</w:t>
      </w:r>
    </w:p>
    <w:p>
      <w:pPr>
        <w:pStyle w:val="ListParagraph"/>
        <w:numPr>
          <w:ilvl w:val="0"/>
          <w:numId w:val="2"/>
        </w:numPr>
      </w:pPr>
      <w:r>
        <w:t xml:space="preserve">Wrench set (10 mm, 13 mm) for mounting bolts</w:t>
      </w:r>
    </w:p>
    <w:p>
      <w:pPr>
        <w:pStyle w:val="ListParagraph"/>
        <w:numPr>
          <w:ilvl w:val="0"/>
          <w:numId w:val="2"/>
        </w:numPr>
      </w:pPr>
      <w:r>
        <w:t xml:space="preserve">Screwdriver set (flat-head and Phillips)</w:t>
      </w:r>
    </w:p>
    <w:p>
      <w:pPr>
        <w:pStyle w:val="ListParagraph"/>
        <w:numPr>
          <w:ilvl w:val="0"/>
          <w:numId w:val="2"/>
        </w:numPr>
      </w:pPr>
      <w:r>
        <w:t xml:space="preserve">Drill with ø6.5 mm drill bit</w:t>
      </w:r>
    </w:p>
    <w:p>
      <w:pPr>
        <w:pStyle w:val="ListParagraph"/>
        <w:numPr>
          <w:ilvl w:val="0"/>
          <w:numId w:val="2"/>
        </w:numPr>
      </w:pPr>
      <w:r>
        <w:t xml:space="preserve">Wire stripper and crimp tool for heavy-duty power cables</w:t>
      </w:r>
    </w:p>
    <w:p>
      <w:pPr>
        <w:pStyle w:val="ListParagraph"/>
        <w:numPr>
          <w:ilvl w:val="0"/>
          <w:numId w:val="2"/>
        </w:numPr>
      </w:pPr>
      <w:r>
        <w:t xml:space="preserve">Multimeter (to verify voltage and polarity)</w:t>
      </w:r>
    </w:p>
    <w:p>
      <w:pPr>
        <w:pStyle w:val="ListParagraph"/>
        <w:numPr>
          <w:ilvl w:val="0"/>
          <w:numId w:val="2"/>
        </w:numPr>
      </w:pPr>
      <w:r>
        <w:t xml:space="preserve">Pneumatic hose cutter</w:t>
      </w:r>
    </w:p>
    <w:p>
      <w:pPr>
        <w:pStyle w:val="ListParagraph"/>
        <w:numPr>
          <w:ilvl w:val="0"/>
          <w:numId w:val="2"/>
        </w:numPr>
      </w:pPr>
      <w:r>
        <w:t xml:space="preserve">Cable ties for routing</w:t>
      </w:r>
    </w:p>
    <w:p>
      <w:pPr>
        <w:pStyle w:val="Heading1"/>
        <w:spacing w:after="200" w:before="360"/>
      </w:pPr>
      <w:r>
        <w:t xml:space="preserve">5. Choosing the mounting location</w:t>
      </w:r>
    </w:p>
    <w:p>
      <w:pPr>
        <w:spacing w:after="120"/>
      </w:pPr>
      <w:r>
        <w:t xml:space="preserve">The Central Unit must be mounted on a flat, rigid section of the sprayer frame near the chemical tank. The location must satisfy the following requirements:</w:t>
      </w:r>
    </w:p>
    <w:p>
      <w:pPr>
        <w:pStyle w:val="Heading2"/>
        <w:spacing w:after="160" w:before="280"/>
      </w:pPr>
      <w:r>
        <w:t xml:space="preserve">5.1 Location requirements</w:t>
      </w:r>
    </w:p>
    <w:p>
      <w:pPr>
        <w:pStyle w:val="ListParagraph"/>
        <w:numPr>
          <w:ilvl w:val="0"/>
          <w:numId w:val="2"/>
        </w:numPr>
      </w:pPr>
      <w:r>
        <w:t xml:space="preserve">Flat, rigid surface capable of supporting the unit's weight under vibration.</w:t>
      </w:r>
    </w:p>
    <w:p>
      <w:pPr>
        <w:pStyle w:val="ListParagraph"/>
        <w:numPr>
          <w:ilvl w:val="0"/>
          <w:numId w:val="2"/>
        </w:numPr>
      </w:pPr>
      <w:r>
        <w:t xml:space="preserve">Dry, sheltered area away from direct spray fluid contact and pooling water.</w:t>
      </w:r>
    </w:p>
    <w:p>
      <w:pPr>
        <w:pStyle w:val="ListParagraph"/>
        <w:numPr>
          <w:ilvl w:val="0"/>
          <w:numId w:val="2"/>
        </w:numPr>
      </w:pPr>
      <w:r>
        <w:t xml:space="preserve">Easy access to the manual pressure regulator and the pressure gauge.</w:t>
      </w:r>
    </w:p>
    <w:p>
      <w:pPr>
        <w:pStyle w:val="ListParagraph"/>
        <w:numPr>
          <w:ilvl w:val="0"/>
          <w:numId w:val="2"/>
        </w:numPr>
      </w:pPr>
      <w:r>
        <w:t xml:space="preserve">Close proximity to the tractor battery connection and the ATAR-COMP-STD air compressor.</w:t>
      </w:r>
    </w:p>
    <w:p>
      <w:pPr>
        <w:pStyle w:val="Heading2"/>
        <w:spacing w:after="160" w:before="280"/>
      </w:pPr>
      <w:r>
        <w:t xml:space="preserve">5.2 Orientation</w:t>
      </w:r>
    </w:p>
    <w:p>
      <w:pPr>
        <w:pBdr>
          <w:left w:val="single" w:color="C00000" w:sz="18" w:space="8"/>
        </w:pBdr>
        <w:spacing w:after="120" w:before="80"/>
        <w:ind w:left="200"/>
      </w:pPr>
      <w:r>
        <w:rPr>
          <w:b/>
          <w:bCs/>
          <w:color w:val="C00000"/>
        </w:rPr>
        <w:t xml:space="preserve">WARNING  </w:t>
      </w:r>
      <w:r>
        <w:t xml:space="preserve">The Central Unit must be mounted vertically with the cable glands and pneumatic fittings pointing downward. This prevents water from pooling around the glands and entering the enclosure.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FIG-02 ]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Correct vertical mounting orientation vs incorrect orientations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2 — </w:t>
      </w:r>
      <w:r>
        <w:rPr>
          <w:i/>
          <w:iCs/>
          <w:color w:val="404040"/>
          <w:sz w:val="18"/>
          <w:szCs w:val="18"/>
        </w:rPr>
        <w:t xml:space="preserve">Correct vertical mounting orientation. Cable glands must point downward.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6. Mechanical mounting</w:t>
      </w:r>
    </w:p>
    <w:p>
      <w:pPr>
        <w:pStyle w:val="ListParagraph"/>
        <w:numPr>
          <w:ilvl w:val="0"/>
          <w:numId w:val="3"/>
        </w:numPr>
      </w:pPr>
      <w:r>
        <w:t xml:space="preserve">Position the mounting bracket against the chosen section of the sprayer frame.</w:t>
      </w:r>
    </w:p>
    <w:p>
      <w:pPr>
        <w:pStyle w:val="ListParagraph"/>
        <w:numPr>
          <w:ilvl w:val="0"/>
          <w:numId w:val="3"/>
        </w:numPr>
      </w:pPr>
      <w:r>
        <w:t xml:space="preserve">Mark the four bolt-hole positions on the frame.</w:t>
      </w:r>
    </w:p>
    <w:p>
      <w:pPr>
        <w:pStyle w:val="ListParagraph"/>
        <w:numPr>
          <w:ilvl w:val="0"/>
          <w:numId w:val="3"/>
        </w:numPr>
      </w:pPr>
      <w:r>
        <w:t xml:space="preserve">Drill four ø6.5 mm holes through the frame.</w:t>
      </w:r>
    </w:p>
    <w:p>
      <w:pPr>
        <w:pStyle w:val="ListParagraph"/>
        <w:numPr>
          <w:ilvl w:val="0"/>
          <w:numId w:val="3"/>
        </w:numPr>
      </w:pPr>
      <w:r>
        <w:t xml:space="preserve">Secure the bracket to the frame using the supplied M6 bolts, washers, and nuts. Tighten firmly.</w:t>
      </w:r>
    </w:p>
    <w:p>
      <w:pPr>
        <w:pStyle w:val="ListParagraph"/>
        <w:numPr>
          <w:ilvl w:val="0"/>
          <w:numId w:val="3"/>
        </w:numPr>
      </w:pPr>
      <w:r>
        <w:t xml:space="preserve">Attach the Central Unit (ATAR-SUB-CENTRAL) to the bracket using the supplied mounting screws. Ensure the unit is mechanically firm.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FIG-03 ]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Exploded view of Central Unit mounting assembly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3 — </w:t>
      </w:r>
      <w:r>
        <w:rPr>
          <w:i/>
          <w:iCs/>
          <w:color w:val="404040"/>
          <w:sz w:val="18"/>
          <w:szCs w:val="18"/>
        </w:rPr>
        <w:t xml:space="preserve">Exploded view of Central Unit mounting assembly.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7. Electrical connections</w:t>
      </w:r>
    </w:p>
    <w:p>
      <w:pPr>
        <w:pStyle w:val="Heading2"/>
        <w:spacing w:after="160" w:before="280"/>
      </w:pPr>
      <w:r>
        <w:t xml:space="preserve">7.1 Power input</w:t>
      </w:r>
    </w:p>
    <w:p>
      <w:pPr>
        <w:pStyle w:val="ListParagraph"/>
        <w:numPr>
          <w:ilvl w:val="0"/>
          <w:numId w:val="4"/>
        </w:numPr>
      </w:pPr>
      <w:r>
        <w:t xml:space="preserve">Route the heavy-duty power cable harness from the tractor's 12 V battery to the Central Unit.</w:t>
      </w:r>
    </w:p>
    <w:p>
      <w:pPr>
        <w:pStyle w:val="ListParagraph"/>
        <w:numPr>
          <w:ilvl w:val="0"/>
          <w:numId w:val="4"/>
        </w:numPr>
      </w:pPr>
      <w:r>
        <w:t xml:space="preserve">Connect the positive (red) lead to the battery's positive (+) terminal. Fit the main fuse holder close to the battery end.</w:t>
      </w:r>
    </w:p>
    <w:p>
      <w:pPr>
        <w:pStyle w:val="ListParagraph"/>
        <w:numPr>
          <w:ilvl w:val="0"/>
          <w:numId w:val="4"/>
        </w:numPr>
      </w:pPr>
      <w:r>
        <w:t xml:space="preserve">Connect the negative (black) lead to the battery's negative (-) terminal or a solid chassis ground.</w:t>
      </w:r>
    </w:p>
    <w:p>
      <w:pPr>
        <w:pStyle w:val="ListParagraph"/>
        <w:numPr>
          <w:ilvl w:val="0"/>
          <w:numId w:val="4"/>
        </w:numPr>
      </w:pPr>
      <w:r>
        <w:t xml:space="preserve">Plug the power connector into the power input socket on the Central Unit.</w:t>
      </w:r>
    </w:p>
    <w:p>
      <w:pPr>
        <w:pStyle w:val="Heading2"/>
        <w:spacing w:after="160" w:before="280"/>
      </w:pPr>
      <w:r>
        <w:t xml:space="preserve">7.2 Compressor power</w:t>
      </w:r>
    </w:p>
    <w:p>
      <w:pPr>
        <w:pStyle w:val="ListParagraph"/>
        <w:numPr>
          <w:ilvl w:val="0"/>
          <w:numId w:val="5"/>
        </w:numPr>
      </w:pPr>
      <w:r>
        <w:t xml:space="preserve">Connect the power cable of the ATAR-COMP-STD air compressor to the switched 12 V output socket on the Central Unit.</w:t>
      </w:r>
    </w:p>
    <w:p>
      <w:pPr>
        <w:pStyle w:val="ListParagraph"/>
        <w:numPr>
          <w:ilvl w:val="0"/>
          <w:numId w:val="5"/>
        </w:numPr>
      </w:pPr>
      <w:r>
        <w:t xml:space="preserve">Ensure the connection is secure and the locking collar is engaged.</w:t>
      </w:r>
    </w:p>
    <w:p>
      <w:pPr>
        <w:pStyle w:val="Heading2"/>
        <w:spacing w:after="160" w:before="280"/>
      </w:pPr>
      <w:r>
        <w:t xml:space="preserve">7.3 Module connections</w:t>
      </w:r>
    </w:p>
    <w:p>
      <w:pPr>
        <w:pStyle w:val="ListParagraph"/>
        <w:numPr>
          <w:ilvl w:val="0"/>
          <w:numId w:val="6"/>
        </w:numPr>
      </w:pPr>
      <w:r>
        <w:t xml:space="preserve">Connect the individual LAPP ETHERLINE® PoE patch cables from the M12 X-coded network ports on the Central Unit to each spray module along the boom.</w:t>
      </w:r>
    </w:p>
    <w:p>
      <w:pPr>
        <w:pStyle w:val="ListParagraph"/>
        <w:numPr>
          <w:ilvl w:val="0"/>
          <w:numId w:val="6"/>
        </w:numPr>
      </w:pPr>
      <w:r>
        <w:t xml:space="preserve">Follow the star topology routing rules — see the ATAR Module Mounting Guide §7.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FIG-04 ]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Electrical wiring diagram of the Central Unit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4 — </w:t>
      </w:r>
      <w:r>
        <w:rPr>
          <w:i/>
          <w:iCs/>
          <w:color w:val="404040"/>
          <w:sz w:val="18"/>
          <w:szCs w:val="18"/>
        </w:rPr>
        <w:t xml:space="preserve">Electrical wiring diagram — power input, compressor output, and PoE module connections.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8. Pneumatic connections</w:t>
      </w:r>
    </w:p>
    <w:p>
      <w:pPr>
        <w:pStyle w:val="Heading2"/>
        <w:spacing w:after="160" w:before="280"/>
      </w:pPr>
      <w:r>
        <w:t xml:space="preserve">8.1 Compressor inlet</w:t>
      </w:r>
    </w:p>
    <w:p>
      <w:pPr>
        <w:pStyle w:val="ListParagraph"/>
        <w:numPr>
          <w:ilvl w:val="0"/>
          <w:numId w:val="7"/>
        </w:numPr>
      </w:pPr>
      <w:r>
        <w:t xml:space="preserve">Cut a length of ø10 mm pneumatic hose to run from the ATAR-COMP-STD air compressor outlet to the Central Unit's pneumatic inlet.</w:t>
      </w:r>
    </w:p>
    <w:p>
      <w:pPr>
        <w:pStyle w:val="ListParagraph"/>
        <w:numPr>
          <w:ilvl w:val="0"/>
          <w:numId w:val="7"/>
        </w:numPr>
      </w:pPr>
      <w:r>
        <w:t xml:space="preserve">Push the hose firmly into the Central Unit's pneumatic inlet quick-connect fitting until it clicks.</w:t>
      </w:r>
    </w:p>
    <w:p>
      <w:pPr>
        <w:pStyle w:val="Heading2"/>
        <w:spacing w:after="160" w:before="280"/>
      </w:pPr>
      <w:r>
        <w:t xml:space="preserve">8.2 Boom outlet</w:t>
      </w:r>
    </w:p>
    <w:p>
      <w:pPr>
        <w:pStyle w:val="ListParagraph"/>
        <w:numPr>
          <w:ilvl w:val="0"/>
          <w:numId w:val="8"/>
        </w:numPr>
      </w:pPr>
      <w:r>
        <w:t xml:space="preserve">Connect the ø10 mm regulated air trunk hose to the Central Unit's pneumatic outlet quick-connect fitting.</w:t>
      </w:r>
    </w:p>
    <w:p>
      <w:pPr>
        <w:pStyle w:val="ListParagraph"/>
        <w:numPr>
          <w:ilvl w:val="0"/>
          <w:numId w:val="8"/>
        </w:numPr>
      </w:pPr>
      <w:r>
        <w:t xml:space="preserve">Route the trunk hose along the boom split to distribute air to the spray modules.</w:t>
      </w:r>
    </w:p>
    <w:p>
      <w:pPr>
        <w:pStyle w:val="Heading2"/>
        <w:spacing w:after="160" w:before="280"/>
      </w:pPr>
      <w:r>
        <w:t xml:space="preserve">8.3 Pressure regulation</w:t>
      </w:r>
    </w:p>
    <w:p>
      <w:pPr>
        <w:pStyle w:val="ListParagraph"/>
        <w:numPr>
          <w:ilvl w:val="0"/>
          <w:numId w:val="9"/>
        </w:numPr>
      </w:pPr>
      <w:r>
        <w:t xml:space="preserve">Once the system is powered, pull the manual regulator knob upward to unlock it.</w:t>
      </w:r>
    </w:p>
    <w:p>
      <w:pPr>
        <w:pStyle w:val="ListParagraph"/>
        <w:numPr>
          <w:ilvl w:val="0"/>
          <w:numId w:val="9"/>
        </w:numPr>
      </w:pPr>
      <w:r>
        <w:t xml:space="preserve">Turn the knob clockwise to increase pressure, or counter-clockwise to decrease pressure.</w:t>
      </w:r>
    </w:p>
    <w:p>
      <w:pPr>
        <w:pStyle w:val="ListParagraph"/>
        <w:numPr>
          <w:ilvl w:val="0"/>
          <w:numId w:val="9"/>
        </w:numPr>
      </w:pPr>
      <w:r>
        <w:t xml:space="preserve">Adjust until the integrated pressure gauge reads between 4 and 6 bar.</w:t>
      </w:r>
    </w:p>
    <w:p>
      <w:pPr>
        <w:pStyle w:val="ListParagraph"/>
        <w:numPr>
          <w:ilvl w:val="0"/>
          <w:numId w:val="9"/>
        </w:numPr>
      </w:pPr>
      <w:r>
        <w:t xml:space="preserve">Push the knob downward to lock it in place.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dashed" w:color="008000" w:sz="12"/>
              <w:left w:val="dashed" w:color="008000" w:sz="12"/>
              <w:bottom w:val="dashed" w:color="008000" w:sz="12"/>
              <w:right w:val="dashed" w:color="008000" w:sz="12"/>
            </w:tcBorders>
            <w:shd w:fill="F9FBF9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008000"/>
                <w:sz w:val="24"/>
                <w:szCs w:val="24"/>
              </w:rPr>
              <w:t xml:space="preserve">[ PLACEHOLDER: FIG-05 ]</w:t>
            </w:r>
          </w:p>
          <w:p>
            <w:pPr>
              <w:jc w:val="center"/>
            </w:pPr>
            <w:r>
              <w:rPr>
                <w:color w:val="404040"/>
                <w:sz w:val="20"/>
                <w:szCs w:val="20"/>
              </w:rPr>
              <w:t xml:space="preserve">Pneumatic connections and pressure regulator adjustment</w:t>
            </w:r>
          </w:p>
        </w:tc>
      </w:tr>
    </w:tbl>
    <w:p>
      <w:pPr>
        <w:spacing w:after="200"/>
        <w:jc w:val="center"/>
      </w:pPr>
      <w:r>
        <w:rPr>
          <w:b/>
          <w:bCs/>
          <w:i/>
          <w:iCs/>
          <w:color w:val="404040"/>
          <w:sz w:val="18"/>
          <w:szCs w:val="18"/>
        </w:rPr>
        <w:t xml:space="preserve">Fig. 5 — </w:t>
      </w:r>
      <w:r>
        <w:rPr>
          <w:i/>
          <w:iCs/>
          <w:color w:val="404040"/>
          <w:sz w:val="18"/>
          <w:szCs w:val="18"/>
        </w:rPr>
        <w:t xml:space="preserve">Pneumatic connections and pressure regulator adjustment.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9. Commissioning and testing</w:t>
      </w:r>
    </w:p>
    <w:p>
      <w:pPr>
        <w:pStyle w:val="Heading2"/>
        <w:spacing w:after="160" w:before="280"/>
      </w:pPr>
      <w:r>
        <w:t xml:space="preserve">9.1 Pre-power checklist</w:t>
      </w:r>
    </w:p>
    <w:p>
      <w:pPr>
        <w:pStyle w:val="ListParagraph"/>
        <w:numPr>
          <w:ilvl w:val="0"/>
          <w:numId w:val="2"/>
        </w:numPr>
      </w:pPr>
      <w:r>
        <w:t xml:space="preserve">Central Unit is mounted vertically with cable glands pointing downward.</w:t>
      </w:r>
    </w:p>
    <w:p>
      <w:pPr>
        <w:pStyle w:val="ListParagraph"/>
        <w:numPr>
          <w:ilvl w:val="0"/>
          <w:numId w:val="2"/>
        </w:numPr>
      </w:pPr>
      <w:r>
        <w:t xml:space="preserve">Power input cable is connected to the tractor battery with the main fuse installed.</w:t>
      </w:r>
    </w:p>
    <w:p>
      <w:pPr>
        <w:pStyle w:val="ListParagraph"/>
        <w:numPr>
          <w:ilvl w:val="0"/>
          <w:numId w:val="2"/>
        </w:numPr>
      </w:pPr>
      <w:r>
        <w:t xml:space="preserve">All PoE cables are connected to the M12 network ports and locked.</w:t>
      </w:r>
    </w:p>
    <w:p>
      <w:pPr>
        <w:pStyle w:val="ListParagraph"/>
        <w:numPr>
          <w:ilvl w:val="0"/>
          <w:numId w:val="2"/>
        </w:numPr>
      </w:pPr>
      <w:r>
        <w:t xml:space="preserve">Pneumatic hoses (ø10 mm) are connected to the inlet and outlet fittings.</w:t>
      </w:r>
    </w:p>
    <w:p>
      <w:pPr>
        <w:pStyle w:val="Heading2"/>
        <w:spacing w:after="160" w:before="280"/>
      </w:pPr>
      <w:r>
        <w:t xml:space="preserve">9.2 Power-up sequence</w:t>
      </w:r>
    </w:p>
    <w:p>
      <w:pPr>
        <w:pStyle w:val="ListParagraph"/>
        <w:numPr>
          <w:ilvl w:val="0"/>
          <w:numId w:val="10"/>
        </w:numPr>
      </w:pPr>
      <w:r>
        <w:t xml:space="preserve">Turn on the tractor's ignition.</w:t>
      </w:r>
    </w:p>
    <w:p>
      <w:pPr>
        <w:pStyle w:val="ListParagraph"/>
        <w:numPr>
          <w:ilvl w:val="0"/>
          <w:numId w:val="10"/>
        </w:numPr>
      </w:pPr>
      <w:r>
        <w:t xml:space="preserve">Power on the ATAR Central Unit.</w:t>
      </w:r>
    </w:p>
    <w:p>
      <w:pPr>
        <w:pStyle w:val="ListParagraph"/>
        <w:numPr>
          <w:ilvl w:val="0"/>
          <w:numId w:val="10"/>
        </w:numPr>
      </w:pPr>
      <w:r>
        <w:t xml:space="preserve">Verify that the status LEDs on the Central Unit light up.</w:t>
      </w:r>
    </w:p>
    <w:p>
      <w:pPr>
        <w:pStyle w:val="ListParagraph"/>
        <w:numPr>
          <w:ilvl w:val="0"/>
          <w:numId w:val="10"/>
        </w:numPr>
      </w:pPr>
      <w:r>
        <w:t xml:space="preserve">The ATAR-COMP-STD compressor should start automatically to prime the tank.</w:t>
      </w:r>
    </w:p>
    <w:p>
      <w:pPr>
        <w:pStyle w:val="ListParagraph"/>
        <w:numPr>
          <w:ilvl w:val="0"/>
          <w:numId w:val="10"/>
        </w:numPr>
      </w:pPr>
      <w:r>
        <w:t xml:space="preserve">Adjust the manual pressure regulator until the gauge reads 4–6 bar.</w:t>
      </w:r>
    </w:p>
    <w:p>
      <w:pPr>
        <w:pStyle w:val="ListParagraph"/>
        <w:numPr>
          <w:ilvl w:val="0"/>
          <w:numId w:val="10"/>
        </w:numPr>
      </w:pPr>
      <w:r>
        <w:t xml:space="preserve">Verify that all connected spray modules are detected on the controller app.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10. Maintenance and troubleshooting</w:t>
      </w:r>
    </w:p>
    <w:p>
      <w:pPr>
        <w:pStyle w:val="Heading2"/>
        <w:spacing w:after="160" w:before="280"/>
      </w:pPr>
      <w:r>
        <w:t xml:space="preserve">10.1 Routine maintenance</w:t>
      </w:r>
    </w:p>
    <w:p>
      <w:pPr>
        <w:pStyle w:val="ListParagraph"/>
        <w:numPr>
          <w:ilvl w:val="0"/>
          <w:numId w:val="2"/>
        </w:numPr>
      </w:pPr>
      <w:r>
        <w:t xml:space="preserve">Inspect cable glands and connectors regularly for tightness and wear.</w:t>
      </w:r>
    </w:p>
    <w:p>
      <w:pPr>
        <w:pStyle w:val="ListParagraph"/>
        <w:numPr>
          <w:ilvl w:val="0"/>
          <w:numId w:val="2"/>
        </w:numPr>
      </w:pPr>
      <w:r>
        <w:t xml:space="preserve">Check mounting bolts and bracket for tightness.</w:t>
      </w:r>
    </w:p>
    <w:p>
      <w:pPr>
        <w:pStyle w:val="ListParagraph"/>
        <w:numPr>
          <w:ilvl w:val="0"/>
          <w:numId w:val="2"/>
        </w:numPr>
      </w:pPr>
      <w:r>
        <w:t xml:space="preserve">Verify that the pressure gauge reads consistently between 4 and 6 bar during operation.</w:t>
      </w:r>
    </w:p>
    <w:p>
      <w:pPr>
        <w:pStyle w:val="Heading2"/>
        <w:spacing w:after="160" w:before="280"/>
      </w:pPr>
      <w:r>
        <w:t xml:space="preserve">10.2 Troubleshooting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Symptom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Likely cause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Central Unit does not power on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Blown main fuse
2) Loose power connection
3) Tractor battery voltage low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Replace the main fuse with the same rating.
2) Check the power cable connections.
3) Verify tractor battery voltage is &gt; 11 V DC.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Compressor does not start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Loose compressor power cable
2) Blown compressor fuse (20 A)
3) Tank pressure already &gt; 90 psi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Check the compressor power connection on the Central Unit.
2) Replace the 20 A compressor fuse.
3) Compressor will only start when pressure drops below 90 psi.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Modules not detected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Loose M12 network cable
2) Faulty PoE port
3) Cable length &gt; 40 m</w:t>
            </w:r>
          </w:p>
        </w:tc>
        <w:tc>
          <w:tcPr>
            <w:tcW w:type="dxa" w:w="3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1) Check and tighten the M12 X-coded connectors.
2) Try connecting to a different PoE port.
3) Ensure cable length is ≤ 40 m.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11. Do's and don'ts — quick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DO NOT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Mount the Central Unit vertically with cable glands pointing downward.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Never mount the unit with glands pointing upward or sideways.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Install the main fuse close to the tractor battery end.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Never operate the system without a main fuse.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Adjust working pressure to 4–6 bar using the manual regulator.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Do not exceed 6 bar working pressure on the module side.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Hand-tighten all M12 connectors until fully seated.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Do not use tools to tighten M12 connectors — you may damage the threads.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12. Appendix A — Quick reference card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Model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 Central Unit (ATAR-SUB-CENTRAL)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Dimensions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280 × 220 × 90 mm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Weight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~2.8 kg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Input voltage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V DC nominal (11 – 15 V DC)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Compressor output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V DC, switched, fused at 20 A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Network switch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High-speed PoE switch, M12 X-coded ports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Pneumatic inlet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ø10 mm quick-connect (from compressor)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Pneumatic outlet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ø10 mm quick-connect (regulated, 4–6 bar)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Ingress protection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IP67 (waterproof, dustproof)</w:t>
            </w:r>
          </w:p>
        </w:tc>
      </w:tr>
    </w:tbl>
    <w:p>
      <w:pPr>
        <w:pStyle w:val="Heading1"/>
        <w:spacing w:after="200" w:before="360"/>
      </w:pPr>
      <w:r>
        <w:t xml:space="preserve">13. Appendix B — Figure 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cover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Hero photo of ATAR Central Unit mounted on a sprayer frame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1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ATAR-SUB-CENTRAL front, side, and bottom views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2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Correct vertical mounting orientation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3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Exploded view of Central Unit mounting assembly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4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Electrical wiring diagram — power, compressor, and modules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Fig. 5</w:t>
            </w:r>
          </w:p>
        </w:tc>
        <w:tc>
          <w:tcPr>
            <w:tcW w:type="dxa" w:w="7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Pneumatic connections and pressure regulator adjustment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04040"/>
        <w:sz w:val="18"/>
        <w:szCs w:val="18"/>
      </w:rPr>
      <w:t xml:space="preserve">Page </w:t>
    </w:r>
    <w:r>
      <w:rPr>
        <w:color w:val="40404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404040"/>
        <w:sz w:val="18"/>
        <w:szCs w:val="18"/>
      </w:rPr>
      <w:t xml:space="preserve"> of </w:t>
    </w:r>
    <w:r>
      <w:rPr>
        <w:color w:val="40404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color w:val="404040"/>
        <w:sz w:val="18"/>
        <w:szCs w:val="18"/>
      </w:rPr>
      <w:t xml:space="preserve">  •  © Atar Agtek d.o.o. — Confidential, internal/installer 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638"/>
      </w:tabs>
    </w:pPr>
    <w:r>
      <w:rPr>
        <w:color w:val="404040"/>
        <w:sz w:val="18"/>
        <w:szCs w:val="18"/>
      </w:rPr>
      <w:t xml:space="preserve">ATAR Smart Sprayer — Central Unit Installation Guide</w:t>
    </w:r>
    <w:r>
      <w:rPr>
        <w:color w:val="404040"/>
        <w:sz w:val="18"/>
        <w:szCs w:val="18"/>
      </w:rPr>
      <w:t xml:space="preserve">	EN / Rev 0.1 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08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0064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9ed58461b231f7ec7c7f746f80ad22127c5ac0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ATAR Smart Sprayer — Central Unit Installation Guide</dc:title>
  <dc:creator>Atar Agtek d.o.o.</dc:creator>
  <dc:description>v0.1 — lightweight version with placeholders. EN master. Translations: DE, SR.</dc:description>
  <cp:lastModifiedBy>Un-named</cp:lastModifiedBy>
  <cp:revision>1</cp:revision>
  <dcterms:created xsi:type="dcterms:W3CDTF">2026-06-01T12:23:29.163Z</dcterms:created>
  <dcterms:modified xsi:type="dcterms:W3CDTF">2026-06-01T12:23:29.163Z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